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7E07" w14:textId="77777777" w:rsidR="00B56E35" w:rsidRPr="00B56E35" w:rsidRDefault="00B56E35" w:rsidP="00B56E35">
      <w:pPr>
        <w:spacing w:before="100" w:beforeAutospacing="1" w:after="100" w:afterAutospacing="1" w:line="240" w:lineRule="auto"/>
        <w:outlineLvl w:val="1"/>
        <w:rPr>
          <w:rFonts w:ascii="Times New Roman" w:eastAsia="Times New Roman" w:hAnsi="Times New Roman" w:cs="Times New Roman"/>
          <w:b/>
          <w:bCs/>
          <w:kern w:val="0"/>
          <w:sz w:val="36"/>
          <w:szCs w:val="36"/>
          <w:lang w:eastAsia="ru-RU"/>
          <w14:ligatures w14:val="none"/>
        </w:rPr>
      </w:pPr>
      <w:r w:rsidRPr="00B56E35">
        <w:rPr>
          <w:rFonts w:ascii="Times New Roman" w:eastAsia="Times New Roman" w:hAnsi="Times New Roman" w:cs="Times New Roman"/>
          <w:b/>
          <w:bCs/>
          <w:kern w:val="0"/>
          <w:sz w:val="36"/>
          <w:szCs w:val="36"/>
          <w:lang w:eastAsia="ru-RU"/>
          <w14:ligatures w14:val="none"/>
        </w:rPr>
        <w:t>Отчет о деятельности ООО «Аудит-Финанс» в 2022 году</w:t>
      </w:r>
    </w:p>
    <w:p w14:paraId="565E97DA"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от19 июня 2014 года, протокол №13.</w:t>
      </w:r>
    </w:p>
    <w:p w14:paraId="05F460B6"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физические лица, юридические лица, др.):</w:t>
      </w:r>
    </w:p>
    <w:p w14:paraId="0B2EE9C8"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Аудит-Финанс является обществом с ограниченной ответственностью, собственниками которого являются следующие физические лица - граждане РФ:</w:t>
      </w:r>
    </w:p>
    <w:p w14:paraId="21CB51F5"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 Королева Елена Анатольевна, аттестованный аудитор (33,34%);</w:t>
      </w:r>
      <w:r w:rsidRPr="00B56E35">
        <w:rPr>
          <w:rFonts w:ascii="Times New Roman" w:eastAsia="Times New Roman" w:hAnsi="Times New Roman" w:cs="Times New Roman"/>
          <w:kern w:val="0"/>
          <w:sz w:val="24"/>
          <w:szCs w:val="24"/>
          <w:lang w:eastAsia="ru-RU"/>
          <w14:ligatures w14:val="none"/>
        </w:rPr>
        <w:br/>
        <w:t>- Мясникова Елена Юрьевна, аттестованный аудитор (33,33%);</w:t>
      </w:r>
      <w:r w:rsidRPr="00B56E35">
        <w:rPr>
          <w:rFonts w:ascii="Times New Roman" w:eastAsia="Times New Roman" w:hAnsi="Times New Roman" w:cs="Times New Roman"/>
          <w:kern w:val="0"/>
          <w:sz w:val="24"/>
          <w:szCs w:val="24"/>
          <w:lang w:eastAsia="ru-RU"/>
          <w14:ligatures w14:val="none"/>
        </w:rPr>
        <w:br/>
        <w:t>- Смирнова Людмила Андреевна (33,33%). </w:t>
      </w:r>
    </w:p>
    <w:p w14:paraId="1013F59B"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Таким образом, 66,67% капитала Общества находится в собственности аттестованных аудиторов.</w:t>
      </w:r>
    </w:p>
    <w:p w14:paraId="68C1E75D"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2 Описание системы корпоративного управления аудиторской организации (структура и основные функции органов управления):</w:t>
      </w:r>
    </w:p>
    <w:p w14:paraId="71D5D37E"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 xml:space="preserve">Высшим органом Аудит-Финанс </w:t>
      </w:r>
      <w:proofErr w:type="gramStart"/>
      <w:r w:rsidRPr="00B56E35">
        <w:rPr>
          <w:rFonts w:ascii="Times New Roman" w:eastAsia="Times New Roman" w:hAnsi="Times New Roman" w:cs="Times New Roman"/>
          <w:kern w:val="0"/>
          <w:sz w:val="24"/>
          <w:szCs w:val="24"/>
          <w:lang w:eastAsia="ru-RU"/>
          <w14:ligatures w14:val="none"/>
        </w:rPr>
        <w:t>является</w:t>
      </w:r>
      <w:proofErr w:type="gramEnd"/>
      <w:r w:rsidRPr="00B56E35">
        <w:rPr>
          <w:rFonts w:ascii="Times New Roman" w:eastAsia="Times New Roman" w:hAnsi="Times New Roman" w:cs="Times New Roman"/>
          <w:kern w:val="0"/>
          <w:sz w:val="24"/>
          <w:szCs w:val="24"/>
          <w:lang w:eastAsia="ru-RU"/>
          <w14:ligatures w14:val="none"/>
        </w:rPr>
        <w:t xml:space="preserve"> Общее собрание участников Общества</w:t>
      </w:r>
      <w:r w:rsidRPr="00B56E35">
        <w:rPr>
          <w:rFonts w:ascii="Times New Roman" w:eastAsia="Times New Roman" w:hAnsi="Times New Roman" w:cs="Times New Roman"/>
          <w:kern w:val="0"/>
          <w:sz w:val="24"/>
          <w:szCs w:val="24"/>
          <w:lang w:eastAsia="ru-RU"/>
          <w14:ligatures w14:val="none"/>
        </w:rPr>
        <w:br/>
        <w:t>Органами корпоративного управления ООО «Аудит-Финанс» являются: Общее собрание участников Общества, Директор, Коммерческий директор.</w:t>
      </w:r>
    </w:p>
    <w:p w14:paraId="331F7A84"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Общее собрание участников определяет стратегию развития Общества, согласование значимых тактических вопросов и сделок.</w:t>
      </w:r>
    </w:p>
    <w:p w14:paraId="59ABE99A"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Директор осуществляет руководство текущей деятельностью.</w:t>
      </w:r>
      <w:r w:rsidRPr="00B56E35">
        <w:rPr>
          <w:rFonts w:ascii="Times New Roman" w:eastAsia="Times New Roman" w:hAnsi="Times New Roman" w:cs="Times New Roman"/>
          <w:kern w:val="0"/>
          <w:sz w:val="24"/>
          <w:szCs w:val="24"/>
          <w:lang w:eastAsia="ru-RU"/>
          <w14:ligatures w14:val="none"/>
        </w:rPr>
        <w:br/>
        <w:t>Коммерческий директор осуществляет руководство соответствующих направлений деятельности Общества.</w:t>
      </w:r>
    </w:p>
    <w:p w14:paraId="332D9602"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3. Описание системы внутреннего контроля качества аудиторской организации:</w:t>
      </w:r>
    </w:p>
    <w:p w14:paraId="76E09521"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Внутренний контроль качества в Обществе осуществляется в соответствии с внутрифирменным стандартом «Правила осуществления внутреннего контроля качества аудиторских услуг», разработанным в соответствии с требованиями:</w:t>
      </w:r>
      <w:r w:rsidRPr="00B56E35">
        <w:rPr>
          <w:rFonts w:ascii="Times New Roman" w:eastAsia="Times New Roman" w:hAnsi="Times New Roman" w:cs="Times New Roman"/>
          <w:kern w:val="0"/>
          <w:sz w:val="24"/>
          <w:szCs w:val="24"/>
          <w:lang w:eastAsia="ru-RU"/>
          <w14:ligatures w14:val="none"/>
        </w:rPr>
        <w:br/>
        <w:t>- Федерального закона «Об аудиторской деятельности» от 30.12.2008 № 307-ФЗ;</w:t>
      </w:r>
      <w:r w:rsidRPr="00B56E35">
        <w:rPr>
          <w:rFonts w:ascii="Times New Roman" w:eastAsia="Times New Roman" w:hAnsi="Times New Roman" w:cs="Times New Roman"/>
          <w:kern w:val="0"/>
          <w:sz w:val="24"/>
          <w:szCs w:val="24"/>
          <w:lang w:eastAsia="ru-RU"/>
          <w14:ligatures w14:val="none"/>
        </w:rPr>
        <w:br/>
        <w:t>- Федерального правила (стандарта) аудиторской деятельности № 7 «Контроль качества выполнения заданий по аудиту»;</w:t>
      </w:r>
      <w:r w:rsidRPr="00B56E35">
        <w:rPr>
          <w:rFonts w:ascii="Times New Roman" w:eastAsia="Times New Roman" w:hAnsi="Times New Roman" w:cs="Times New Roman"/>
          <w:kern w:val="0"/>
          <w:sz w:val="24"/>
          <w:szCs w:val="24"/>
          <w:lang w:eastAsia="ru-RU"/>
          <w14:ligatures w14:val="none"/>
        </w:rPr>
        <w:br/>
        <w:t>- Федерального правила (стандарта) аудиторской деятельности № 34 «Контроль качества услуг в аудиторских организациях»;</w:t>
      </w:r>
      <w:r w:rsidRPr="00B56E35">
        <w:rPr>
          <w:rFonts w:ascii="Times New Roman" w:eastAsia="Times New Roman" w:hAnsi="Times New Roman" w:cs="Times New Roman"/>
          <w:kern w:val="0"/>
          <w:sz w:val="24"/>
          <w:szCs w:val="24"/>
          <w:lang w:eastAsia="ru-RU"/>
          <w14:ligatures w14:val="none"/>
        </w:rPr>
        <w:br/>
        <w:t>- Кодексом профессиональной этики аудиторов.</w:t>
      </w:r>
      <w:r w:rsidRPr="00B56E35">
        <w:rPr>
          <w:rFonts w:ascii="Times New Roman" w:eastAsia="Times New Roman" w:hAnsi="Times New Roman" w:cs="Times New Roman"/>
          <w:kern w:val="0"/>
          <w:sz w:val="24"/>
          <w:szCs w:val="24"/>
          <w:lang w:eastAsia="ru-RU"/>
          <w14:ligatures w14:val="none"/>
        </w:rPr>
        <w:br/>
        <w:t>Система внутреннего контроля качества в Обществе включает принципы и процедуры, охватывающие следующие аспекты:</w:t>
      </w:r>
      <w:r w:rsidRPr="00B56E35">
        <w:rPr>
          <w:rFonts w:ascii="Times New Roman" w:eastAsia="Times New Roman" w:hAnsi="Times New Roman" w:cs="Times New Roman"/>
          <w:kern w:val="0"/>
          <w:sz w:val="24"/>
          <w:szCs w:val="24"/>
          <w:lang w:eastAsia="ru-RU"/>
          <w14:ligatures w14:val="none"/>
        </w:rPr>
        <w:br/>
        <w:t>а) обязательства руководства Общества по обеспечению качества оказываемых услуг;</w:t>
      </w:r>
      <w:r w:rsidRPr="00B56E35">
        <w:rPr>
          <w:rFonts w:ascii="Times New Roman" w:eastAsia="Times New Roman" w:hAnsi="Times New Roman" w:cs="Times New Roman"/>
          <w:kern w:val="0"/>
          <w:sz w:val="24"/>
          <w:szCs w:val="24"/>
          <w:lang w:eastAsia="ru-RU"/>
          <w14:ligatures w14:val="none"/>
        </w:rPr>
        <w:br/>
        <w:t>б) этические требования;</w:t>
      </w:r>
      <w:r w:rsidRPr="00B56E35">
        <w:rPr>
          <w:rFonts w:ascii="Times New Roman" w:eastAsia="Times New Roman" w:hAnsi="Times New Roman" w:cs="Times New Roman"/>
          <w:kern w:val="0"/>
          <w:sz w:val="24"/>
          <w:szCs w:val="24"/>
          <w:lang w:eastAsia="ru-RU"/>
          <w14:ligatures w14:val="none"/>
        </w:rPr>
        <w:br/>
        <w:t>в) решение вопросов о принятии на обслуживание новых клиентов или о продолжении сотрудничества по конкретным заданиям;</w:t>
      </w:r>
      <w:r w:rsidRPr="00B56E35">
        <w:rPr>
          <w:rFonts w:ascii="Times New Roman" w:eastAsia="Times New Roman" w:hAnsi="Times New Roman" w:cs="Times New Roman"/>
          <w:kern w:val="0"/>
          <w:sz w:val="24"/>
          <w:szCs w:val="24"/>
          <w:lang w:eastAsia="ru-RU"/>
          <w14:ligatures w14:val="none"/>
        </w:rPr>
        <w:br/>
      </w:r>
      <w:r w:rsidRPr="00B56E35">
        <w:rPr>
          <w:rFonts w:ascii="Times New Roman" w:eastAsia="Times New Roman" w:hAnsi="Times New Roman" w:cs="Times New Roman"/>
          <w:kern w:val="0"/>
          <w:sz w:val="24"/>
          <w:szCs w:val="24"/>
          <w:lang w:eastAsia="ru-RU"/>
          <w14:ligatures w14:val="none"/>
        </w:rPr>
        <w:lastRenderedPageBreak/>
        <w:t>г) кадровая работа;</w:t>
      </w:r>
      <w:r w:rsidRPr="00B56E35">
        <w:rPr>
          <w:rFonts w:ascii="Times New Roman" w:eastAsia="Times New Roman" w:hAnsi="Times New Roman" w:cs="Times New Roman"/>
          <w:kern w:val="0"/>
          <w:sz w:val="24"/>
          <w:szCs w:val="24"/>
          <w:lang w:eastAsia="ru-RU"/>
          <w14:ligatures w14:val="none"/>
        </w:rPr>
        <w:br/>
        <w:t>д) назначение аудиторских групп;</w:t>
      </w:r>
      <w:r w:rsidRPr="00B56E35">
        <w:rPr>
          <w:rFonts w:ascii="Times New Roman" w:eastAsia="Times New Roman" w:hAnsi="Times New Roman" w:cs="Times New Roman"/>
          <w:kern w:val="0"/>
          <w:sz w:val="24"/>
          <w:szCs w:val="24"/>
          <w:lang w:eastAsia="ru-RU"/>
          <w14:ligatures w14:val="none"/>
        </w:rPr>
        <w:br/>
        <w:t>е) выполнение задания;</w:t>
      </w:r>
      <w:r w:rsidRPr="00B56E35">
        <w:rPr>
          <w:rFonts w:ascii="Times New Roman" w:eastAsia="Times New Roman" w:hAnsi="Times New Roman" w:cs="Times New Roman"/>
          <w:kern w:val="0"/>
          <w:sz w:val="24"/>
          <w:szCs w:val="24"/>
          <w:lang w:eastAsia="ru-RU"/>
          <w14:ligatures w14:val="none"/>
        </w:rPr>
        <w:br/>
        <w:t>ж) консультирование;</w:t>
      </w:r>
      <w:r w:rsidRPr="00B56E35">
        <w:rPr>
          <w:rFonts w:ascii="Times New Roman" w:eastAsia="Times New Roman" w:hAnsi="Times New Roman" w:cs="Times New Roman"/>
          <w:kern w:val="0"/>
          <w:sz w:val="24"/>
          <w:szCs w:val="24"/>
          <w:lang w:eastAsia="ru-RU"/>
          <w14:ligatures w14:val="none"/>
        </w:rPr>
        <w:br/>
        <w:t>з) расхождения во мнении;</w:t>
      </w:r>
      <w:r w:rsidRPr="00B56E35">
        <w:rPr>
          <w:rFonts w:ascii="Times New Roman" w:eastAsia="Times New Roman" w:hAnsi="Times New Roman" w:cs="Times New Roman"/>
          <w:kern w:val="0"/>
          <w:sz w:val="24"/>
          <w:szCs w:val="24"/>
          <w:lang w:eastAsia="ru-RU"/>
          <w14:ligatures w14:val="none"/>
        </w:rPr>
        <w:br/>
        <w:t>и) обзорная проверка качества выполнения задания;</w:t>
      </w:r>
      <w:r w:rsidRPr="00B56E35">
        <w:rPr>
          <w:rFonts w:ascii="Times New Roman" w:eastAsia="Times New Roman" w:hAnsi="Times New Roman" w:cs="Times New Roman"/>
          <w:kern w:val="0"/>
          <w:sz w:val="24"/>
          <w:szCs w:val="24"/>
          <w:lang w:eastAsia="ru-RU"/>
          <w14:ligatures w14:val="none"/>
        </w:rPr>
        <w:br/>
        <w:t>к) мониторинг;</w:t>
      </w:r>
      <w:r w:rsidRPr="00B56E35">
        <w:rPr>
          <w:rFonts w:ascii="Times New Roman" w:eastAsia="Times New Roman" w:hAnsi="Times New Roman" w:cs="Times New Roman"/>
          <w:kern w:val="0"/>
          <w:sz w:val="24"/>
          <w:szCs w:val="24"/>
          <w:lang w:eastAsia="ru-RU"/>
          <w14:ligatures w14:val="none"/>
        </w:rPr>
        <w:br/>
        <w:t>л) жалобы и претензии.</w:t>
      </w:r>
      <w:r w:rsidRPr="00B56E35">
        <w:rPr>
          <w:rFonts w:ascii="Times New Roman" w:eastAsia="Times New Roman" w:hAnsi="Times New Roman" w:cs="Times New Roman"/>
          <w:kern w:val="0"/>
          <w:sz w:val="24"/>
          <w:szCs w:val="24"/>
          <w:lang w:eastAsia="ru-RU"/>
          <w14:ligatures w14:val="none"/>
        </w:rPr>
        <w:br/>
        <w:t>Ответственность за функционирование системы контроля качества несет руководство Общества, которое осознает, что достижение высокого качества выполнения всех заданий является наиважнейшей целью деятельности Общества.</w:t>
      </w:r>
      <w:r w:rsidRPr="00B56E35">
        <w:rPr>
          <w:rFonts w:ascii="Times New Roman" w:eastAsia="Times New Roman" w:hAnsi="Times New Roman" w:cs="Times New Roman"/>
          <w:kern w:val="0"/>
          <w:sz w:val="24"/>
          <w:szCs w:val="24"/>
          <w:lang w:eastAsia="ru-RU"/>
          <w14:ligatures w14:val="none"/>
        </w:rPr>
        <w:br/>
        <w:t>Руководство Общества несет ответственность за то, чтобы:</w:t>
      </w:r>
      <w:r w:rsidRPr="00B56E35">
        <w:rPr>
          <w:rFonts w:ascii="Times New Roman" w:eastAsia="Times New Roman" w:hAnsi="Times New Roman" w:cs="Times New Roman"/>
          <w:kern w:val="0"/>
          <w:sz w:val="24"/>
          <w:szCs w:val="24"/>
          <w:lang w:eastAsia="ru-RU"/>
          <w14:ligatures w14:val="none"/>
        </w:rPr>
        <w:br/>
        <w:t>- коммерческие соображения не преобладали над качеством выполняемой работы;</w:t>
      </w:r>
      <w:r w:rsidRPr="00B56E35">
        <w:rPr>
          <w:rFonts w:ascii="Times New Roman" w:eastAsia="Times New Roman" w:hAnsi="Times New Roman" w:cs="Times New Roman"/>
          <w:kern w:val="0"/>
          <w:sz w:val="24"/>
          <w:szCs w:val="24"/>
          <w:lang w:eastAsia="ru-RU"/>
          <w14:ligatures w14:val="none"/>
        </w:rPr>
        <w:br/>
        <w:t>- принципы и процедуры, применяемые в Обществе в отношении оценки выполненной работы, оплаты и повышения в должности работников демонстрировали приверженность Общества качеству;</w:t>
      </w:r>
      <w:r w:rsidRPr="00B56E35">
        <w:rPr>
          <w:rFonts w:ascii="Times New Roman" w:eastAsia="Times New Roman" w:hAnsi="Times New Roman" w:cs="Times New Roman"/>
          <w:kern w:val="0"/>
          <w:sz w:val="24"/>
          <w:szCs w:val="24"/>
          <w:lang w:eastAsia="ru-RU"/>
          <w14:ligatures w14:val="none"/>
        </w:rPr>
        <w:br/>
        <w:t>- на развитие и документирование принципов и процедур контроля качества услуг направлялись средства в достаточном объеме.</w:t>
      </w:r>
      <w:r w:rsidRPr="00B56E35">
        <w:rPr>
          <w:rFonts w:ascii="Times New Roman" w:eastAsia="Times New Roman" w:hAnsi="Times New Roman" w:cs="Times New Roman"/>
          <w:kern w:val="0"/>
          <w:sz w:val="24"/>
          <w:szCs w:val="24"/>
          <w:lang w:eastAsia="ru-RU"/>
          <w14:ligatures w14:val="none"/>
        </w:rPr>
        <w:br/>
        <w:t>Лицо, ответственное за функционирование внутренней системы контроля качества, - внутренний контролер качества - назначен Приказом Директора Общества и обладает надлежащим опытом и способностями, а также имеет необходимые полномочия для выполнения своих функций.</w:t>
      </w:r>
    </w:p>
    <w:p w14:paraId="20C5FAFE"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4.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14:paraId="663A9A3E"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 xml:space="preserve">В 2020 году ООО «Аудит-Финанс» успешно прошла внешнюю проверку качества работы аудиторской организации за период 2017 – 2018 </w:t>
      </w:r>
      <w:proofErr w:type="spellStart"/>
      <w:r w:rsidRPr="00B56E35">
        <w:rPr>
          <w:rFonts w:ascii="Times New Roman" w:eastAsia="Times New Roman" w:hAnsi="Times New Roman" w:cs="Times New Roman"/>
          <w:kern w:val="0"/>
          <w:sz w:val="24"/>
          <w:szCs w:val="24"/>
          <w:lang w:eastAsia="ru-RU"/>
          <w14:ligatures w14:val="none"/>
        </w:rPr>
        <w:t>г.г</w:t>
      </w:r>
      <w:proofErr w:type="spellEnd"/>
      <w:r w:rsidRPr="00B56E35">
        <w:rPr>
          <w:rFonts w:ascii="Times New Roman" w:eastAsia="Times New Roman" w:hAnsi="Times New Roman" w:cs="Times New Roman"/>
          <w:kern w:val="0"/>
          <w:sz w:val="24"/>
          <w:szCs w:val="24"/>
          <w:lang w:eastAsia="ru-RU"/>
          <w14:ligatures w14:val="none"/>
        </w:rPr>
        <w:t xml:space="preserve">. </w:t>
      </w:r>
      <w:r w:rsidRPr="00B56E35">
        <w:rPr>
          <w:rFonts w:ascii="Times New Roman" w:eastAsia="Times New Roman" w:hAnsi="Times New Roman" w:cs="Times New Roman"/>
          <w:kern w:val="0"/>
          <w:sz w:val="24"/>
          <w:szCs w:val="24"/>
          <w:lang w:eastAsia="ru-RU"/>
          <w14:ligatures w14:val="none"/>
        </w:rPr>
        <w:br/>
        <w:t>Получено Свидетельство № 86-19/12-060 от 27.04.2020 года.</w:t>
      </w:r>
    </w:p>
    <w:p w14:paraId="713C30A9"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5.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14:paraId="2D23B211"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За 2022 год в организациях, предусмотренных частью 3 статьи 5 Федерального закона «Об аудиторской деятельности» обязательный аудит не проводился.</w:t>
      </w:r>
    </w:p>
    <w:p w14:paraId="4D72F497"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6.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факта проведения внутренней проверки соблюдения независимости:</w:t>
      </w:r>
    </w:p>
    <w:p w14:paraId="4E1E2A75"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Независимость ООО «Аудит-Финанс» и ее аудиторов обеспечивается в соответствии с:</w:t>
      </w:r>
      <w:r w:rsidRPr="00B56E35">
        <w:rPr>
          <w:rFonts w:ascii="Times New Roman" w:eastAsia="Times New Roman" w:hAnsi="Times New Roman" w:cs="Times New Roman"/>
          <w:kern w:val="0"/>
          <w:sz w:val="24"/>
          <w:szCs w:val="24"/>
          <w:lang w:eastAsia="ru-RU"/>
          <w14:ligatures w14:val="none"/>
        </w:rPr>
        <w:br/>
        <w:t>- Федеральным законом «Об аудиторской деятельности» от 30.12.2008 № 307-ФЗ;</w:t>
      </w:r>
      <w:r w:rsidRPr="00B56E35">
        <w:rPr>
          <w:rFonts w:ascii="Times New Roman" w:eastAsia="Times New Roman" w:hAnsi="Times New Roman" w:cs="Times New Roman"/>
          <w:kern w:val="0"/>
          <w:sz w:val="24"/>
          <w:szCs w:val="24"/>
          <w:lang w:eastAsia="ru-RU"/>
          <w14:ligatures w14:val="none"/>
        </w:rPr>
        <w:br/>
        <w:t>- 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r w:rsidRPr="00B56E35">
        <w:rPr>
          <w:rFonts w:ascii="Times New Roman" w:eastAsia="Times New Roman" w:hAnsi="Times New Roman" w:cs="Times New Roman"/>
          <w:kern w:val="0"/>
          <w:sz w:val="24"/>
          <w:szCs w:val="24"/>
          <w:lang w:eastAsia="ru-RU"/>
          <w14:ligatures w14:val="none"/>
        </w:rPr>
        <w:br/>
        <w:t>- Федеральными правилами (стандартами) аудиторской деятельности;</w:t>
      </w:r>
      <w:r w:rsidRPr="00B56E35">
        <w:rPr>
          <w:rFonts w:ascii="Times New Roman" w:eastAsia="Times New Roman" w:hAnsi="Times New Roman" w:cs="Times New Roman"/>
          <w:kern w:val="0"/>
          <w:sz w:val="24"/>
          <w:szCs w:val="24"/>
          <w:lang w:eastAsia="ru-RU"/>
          <w14:ligatures w14:val="none"/>
        </w:rPr>
        <w:br/>
        <w:t>- Федеральными стандартами аудиторской деятельности;</w:t>
      </w:r>
      <w:r w:rsidRPr="00B56E35">
        <w:rPr>
          <w:rFonts w:ascii="Times New Roman" w:eastAsia="Times New Roman" w:hAnsi="Times New Roman" w:cs="Times New Roman"/>
          <w:kern w:val="0"/>
          <w:sz w:val="24"/>
          <w:szCs w:val="24"/>
          <w:lang w:eastAsia="ru-RU"/>
          <w14:ligatures w14:val="none"/>
        </w:rPr>
        <w:br/>
        <w:t xml:space="preserve">- Кодексом профессиональной этики аудиторов(одобрен Советом по аудиторской </w:t>
      </w:r>
      <w:r w:rsidRPr="00B56E35">
        <w:rPr>
          <w:rFonts w:ascii="Times New Roman" w:eastAsia="Times New Roman" w:hAnsi="Times New Roman" w:cs="Times New Roman"/>
          <w:kern w:val="0"/>
          <w:sz w:val="24"/>
          <w:szCs w:val="24"/>
          <w:lang w:eastAsia="ru-RU"/>
          <w14:ligatures w14:val="none"/>
        </w:rPr>
        <w:lastRenderedPageBreak/>
        <w:t>деятельности 22 марта 2012 г., протокол № 4; с изменениями от 27 июня 2013 г., протокол № 9 и от 18 декабря 2014 г., протокол № 15).</w:t>
      </w:r>
    </w:p>
    <w:p w14:paraId="764FB007"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Требования к независимости аудитора, содержащиеся в Правилах, обязательны для применения всеми участниками аудиторских групп и ООО «Аудит-Финанс» во всех случаях выполнения заданий, обеспечивающих уверенность, если Правилами не предусмотрено иное.</w:t>
      </w:r>
    </w:p>
    <w:p w14:paraId="6A210177"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Концептуальный подход к соблюдению требований к независимости заключается в обязанности аудитора:</w:t>
      </w:r>
      <w:r w:rsidRPr="00B56E35">
        <w:rPr>
          <w:rFonts w:ascii="Times New Roman" w:eastAsia="Times New Roman" w:hAnsi="Times New Roman" w:cs="Times New Roman"/>
          <w:kern w:val="0"/>
          <w:sz w:val="24"/>
          <w:szCs w:val="24"/>
          <w:lang w:eastAsia="ru-RU"/>
          <w14:ligatures w14:val="none"/>
        </w:rPr>
        <w:br/>
        <w:t>- выявлять угрозы независимости;</w:t>
      </w:r>
      <w:r w:rsidRPr="00B56E35">
        <w:rPr>
          <w:rFonts w:ascii="Times New Roman" w:eastAsia="Times New Roman" w:hAnsi="Times New Roman" w:cs="Times New Roman"/>
          <w:kern w:val="0"/>
          <w:sz w:val="24"/>
          <w:szCs w:val="24"/>
          <w:lang w:eastAsia="ru-RU"/>
          <w14:ligatures w14:val="none"/>
        </w:rPr>
        <w:br/>
        <w:t>- оценивать их значимость;</w:t>
      </w:r>
      <w:r w:rsidRPr="00B56E35">
        <w:rPr>
          <w:rFonts w:ascii="Times New Roman" w:eastAsia="Times New Roman" w:hAnsi="Times New Roman" w:cs="Times New Roman"/>
          <w:kern w:val="0"/>
          <w:sz w:val="24"/>
          <w:szCs w:val="24"/>
          <w:lang w:eastAsia="ru-RU"/>
          <w14:ligatures w14:val="none"/>
        </w:rPr>
        <w:br/>
        <w:t>- предпринимать меры предосторожности.</w:t>
      </w:r>
    </w:p>
    <w:p w14:paraId="0F421510"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14:paraId="752ED0B0"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14:paraId="2008F3E3"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14:paraId="1281205D"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r w:rsidRPr="00B56E35">
        <w:rPr>
          <w:rFonts w:ascii="Times New Roman" w:eastAsia="Times New Roman" w:hAnsi="Times New Roman" w:cs="Times New Roman"/>
          <w:kern w:val="0"/>
          <w:sz w:val="24"/>
          <w:szCs w:val="24"/>
          <w:lang w:eastAsia="ru-RU"/>
          <w14:ligatures w14:val="none"/>
        </w:rPr>
        <w:br/>
        <w:t>Исполнительный орган компании заявляет, что при выполнении аудиторских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«Аудит-Финанс» соблюдает независимость по отношению к заказчикам аудиторских услуг, которая выражается в независимости мнения и внешней независимости.</w:t>
      </w:r>
    </w:p>
    <w:p w14:paraId="7EC33B8A"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14:paraId="22D02056"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14:paraId="257538D1"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lastRenderedPageBreak/>
        <w:t>Внутренняя проверка соблюдения независимости проводится периодически во время мониторинга системы внутреннего контроля.</w:t>
      </w:r>
    </w:p>
    <w:p w14:paraId="1D117EE6"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7.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 «Об аудиторской деятельности»:</w:t>
      </w:r>
    </w:p>
    <w:p w14:paraId="433DF048"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Исполнительный орган Общества заявляет, что все аудиторы Общества проходят ежегодное обучение по программам повышения квалификации, в соответствии с частью 9 статьи 11 Федерального закона "Об аудиторской деятельности".</w:t>
      </w:r>
      <w:r w:rsidRPr="00B56E35">
        <w:rPr>
          <w:rFonts w:ascii="Times New Roman" w:eastAsia="Times New Roman" w:hAnsi="Times New Roman" w:cs="Times New Roman"/>
          <w:kern w:val="0"/>
          <w:sz w:val="24"/>
          <w:szCs w:val="24"/>
          <w:lang w:eastAsia="ru-RU"/>
          <w14:ligatures w14:val="none"/>
        </w:rPr>
        <w:br/>
        <w:t>Организация и проведение обучения по программе повышения квалификации аудиторов - членов Саморегулируемой организации аудиторов Ассоциация «Содружество» (СРО ААС) осуществляет ЧОУ ДПО «Профессиональный бухгалтер» (УМЦ №14 СРО ААС) согласно договорам, подписываемым ежегодно.</w:t>
      </w:r>
    </w:p>
    <w:p w14:paraId="3A37D2DF"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8. Сведения о принятой в аудиторской организации системе вознаграждения руководителей аудиторских групп (в том числе основные факторы, оказывающие влияние на размер вознаграждения):</w:t>
      </w:r>
    </w:p>
    <w:p w14:paraId="0AA19141"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 ООО «Аудит-Финанс»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r w:rsidRPr="00B56E35">
        <w:rPr>
          <w:rFonts w:ascii="Times New Roman" w:eastAsia="Times New Roman" w:hAnsi="Times New Roman" w:cs="Times New Roman"/>
          <w:kern w:val="0"/>
          <w:sz w:val="24"/>
          <w:szCs w:val="24"/>
          <w:lang w:eastAsia="ru-RU"/>
          <w14:ligatures w14:val="none"/>
        </w:rPr>
        <w:br/>
        <w:t>В Обществе отсутствует система вознаграждения руководителей проверки, отличающаяся от указанной системы или дополняющая ее. </w:t>
      </w:r>
    </w:p>
    <w:p w14:paraId="734E0EBA"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9. Описание принимаемых аудиторской организацией мер по обеспечению ротации старшего персонала в составе аудиторской группы:</w:t>
      </w:r>
    </w:p>
    <w:p w14:paraId="1497E48B"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В соответствии с внутренними политиками и процедурами, смена руководителя проверки производится не реже, чем один раз в 7 лет.</w:t>
      </w:r>
    </w:p>
    <w:p w14:paraId="22275C6C"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b/>
          <w:bCs/>
          <w:kern w:val="0"/>
          <w:sz w:val="24"/>
          <w:szCs w:val="24"/>
          <w:lang w:eastAsia="ru-RU"/>
          <w14:ligatures w14:val="none"/>
        </w:rPr>
        <w:t>10. Сведения о выручке аудиторской организации за отчетный год, в том числе о суммах, полученных от:</w:t>
      </w:r>
    </w:p>
    <w:p w14:paraId="5B11705A"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Проведения обязательного аудита бухгалтерской (финансовой) отчетности, в том числе консолидированной:</w:t>
      </w:r>
      <w:r w:rsidRPr="00B56E35">
        <w:rPr>
          <w:rFonts w:ascii="Times New Roman" w:eastAsia="Times New Roman" w:hAnsi="Times New Roman" w:cs="Times New Roman"/>
          <w:kern w:val="0"/>
          <w:sz w:val="24"/>
          <w:szCs w:val="24"/>
          <w:lang w:eastAsia="ru-RU"/>
          <w14:ligatures w14:val="none"/>
        </w:rPr>
        <w:br/>
        <w:t xml:space="preserve">- организаций, предусмотренных частью 3 статьи 5 Федерального закона «Об аудиторской деятельности»: </w:t>
      </w:r>
      <w:r w:rsidRPr="00B56E35">
        <w:rPr>
          <w:rFonts w:ascii="Times New Roman" w:eastAsia="Times New Roman" w:hAnsi="Times New Roman" w:cs="Times New Roman"/>
          <w:b/>
          <w:bCs/>
          <w:kern w:val="0"/>
          <w:sz w:val="24"/>
          <w:szCs w:val="24"/>
          <w:lang w:eastAsia="ru-RU"/>
          <w14:ligatures w14:val="none"/>
        </w:rPr>
        <w:t>8.732,5 тыс. руб.;</w:t>
      </w:r>
      <w:r w:rsidRPr="00B56E35">
        <w:rPr>
          <w:rFonts w:ascii="Times New Roman" w:eastAsia="Times New Roman" w:hAnsi="Times New Roman" w:cs="Times New Roman"/>
          <w:kern w:val="0"/>
          <w:sz w:val="24"/>
          <w:szCs w:val="24"/>
          <w:lang w:eastAsia="ru-RU"/>
          <w14:ligatures w14:val="none"/>
        </w:rPr>
        <w:br/>
        <w:t>- прочих организаций:</w:t>
      </w:r>
      <w:r w:rsidRPr="00B56E35">
        <w:rPr>
          <w:rFonts w:ascii="Times New Roman" w:eastAsia="Times New Roman" w:hAnsi="Times New Roman" w:cs="Times New Roman"/>
          <w:b/>
          <w:bCs/>
          <w:kern w:val="0"/>
          <w:sz w:val="24"/>
          <w:szCs w:val="24"/>
          <w:lang w:eastAsia="ru-RU"/>
          <w14:ligatures w14:val="none"/>
        </w:rPr>
        <w:t xml:space="preserve"> 1.122 тыс. руб.</w:t>
      </w:r>
    </w:p>
    <w:p w14:paraId="471013B9"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14:paraId="4ED170AE" w14:textId="77777777" w:rsidR="00B56E35" w:rsidRPr="00B56E35" w:rsidRDefault="00B56E35" w:rsidP="00B56E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56E35">
        <w:rPr>
          <w:rFonts w:ascii="Times New Roman" w:eastAsia="Times New Roman" w:hAnsi="Times New Roman" w:cs="Times New Roman"/>
          <w:kern w:val="0"/>
          <w:sz w:val="24"/>
          <w:szCs w:val="24"/>
          <w:lang w:eastAsia="ru-RU"/>
          <w14:ligatures w14:val="none"/>
        </w:rPr>
        <w:t xml:space="preserve">- аудируемым лицам: </w:t>
      </w:r>
      <w:r w:rsidRPr="00B56E35">
        <w:rPr>
          <w:rFonts w:ascii="Times New Roman" w:eastAsia="Times New Roman" w:hAnsi="Times New Roman" w:cs="Times New Roman"/>
          <w:b/>
          <w:bCs/>
          <w:kern w:val="0"/>
          <w:sz w:val="24"/>
          <w:szCs w:val="24"/>
          <w:lang w:eastAsia="ru-RU"/>
          <w14:ligatures w14:val="none"/>
        </w:rPr>
        <w:t xml:space="preserve">63,5 </w:t>
      </w:r>
      <w:proofErr w:type="spellStart"/>
      <w:r w:rsidRPr="00B56E35">
        <w:rPr>
          <w:rFonts w:ascii="Times New Roman" w:eastAsia="Times New Roman" w:hAnsi="Times New Roman" w:cs="Times New Roman"/>
          <w:b/>
          <w:bCs/>
          <w:kern w:val="0"/>
          <w:sz w:val="24"/>
          <w:szCs w:val="24"/>
          <w:lang w:eastAsia="ru-RU"/>
          <w14:ligatures w14:val="none"/>
        </w:rPr>
        <w:t>тыс.руб</w:t>
      </w:r>
      <w:proofErr w:type="spellEnd"/>
      <w:r w:rsidRPr="00B56E35">
        <w:rPr>
          <w:rFonts w:ascii="Times New Roman" w:eastAsia="Times New Roman" w:hAnsi="Times New Roman" w:cs="Times New Roman"/>
          <w:b/>
          <w:bCs/>
          <w:kern w:val="0"/>
          <w:sz w:val="24"/>
          <w:szCs w:val="24"/>
          <w:lang w:eastAsia="ru-RU"/>
          <w14:ligatures w14:val="none"/>
        </w:rPr>
        <w:t>.;</w:t>
      </w:r>
      <w:r w:rsidRPr="00B56E35">
        <w:rPr>
          <w:rFonts w:ascii="Times New Roman" w:eastAsia="Times New Roman" w:hAnsi="Times New Roman" w:cs="Times New Roman"/>
          <w:kern w:val="0"/>
          <w:sz w:val="24"/>
          <w:szCs w:val="24"/>
          <w:lang w:eastAsia="ru-RU"/>
          <w14:ligatures w14:val="none"/>
        </w:rPr>
        <w:br/>
        <w:t xml:space="preserve">- прочим организациям: </w:t>
      </w:r>
      <w:r w:rsidRPr="00B56E35">
        <w:rPr>
          <w:rFonts w:ascii="Times New Roman" w:eastAsia="Times New Roman" w:hAnsi="Times New Roman" w:cs="Times New Roman"/>
          <w:b/>
          <w:bCs/>
          <w:kern w:val="0"/>
          <w:sz w:val="24"/>
          <w:szCs w:val="24"/>
          <w:lang w:eastAsia="ru-RU"/>
          <w14:ligatures w14:val="none"/>
        </w:rPr>
        <w:t xml:space="preserve">255,6 </w:t>
      </w:r>
      <w:proofErr w:type="spellStart"/>
      <w:r w:rsidRPr="00B56E35">
        <w:rPr>
          <w:rFonts w:ascii="Times New Roman" w:eastAsia="Times New Roman" w:hAnsi="Times New Roman" w:cs="Times New Roman"/>
          <w:b/>
          <w:bCs/>
          <w:kern w:val="0"/>
          <w:sz w:val="24"/>
          <w:szCs w:val="24"/>
          <w:lang w:eastAsia="ru-RU"/>
          <w14:ligatures w14:val="none"/>
        </w:rPr>
        <w:t>тыс.руб</w:t>
      </w:r>
      <w:proofErr w:type="spellEnd"/>
      <w:r w:rsidRPr="00B56E35">
        <w:rPr>
          <w:rFonts w:ascii="Times New Roman" w:eastAsia="Times New Roman" w:hAnsi="Times New Roman" w:cs="Times New Roman"/>
          <w:b/>
          <w:bCs/>
          <w:kern w:val="0"/>
          <w:sz w:val="24"/>
          <w:szCs w:val="24"/>
          <w:lang w:eastAsia="ru-RU"/>
          <w14:ligatures w14:val="none"/>
        </w:rPr>
        <w:t>.</w:t>
      </w:r>
    </w:p>
    <w:p w14:paraId="03DE728D" w14:textId="77777777" w:rsidR="006A020C" w:rsidRDefault="006A020C"/>
    <w:sectPr w:rsidR="006A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4D"/>
    <w:rsid w:val="00003AC6"/>
    <w:rsid w:val="00185912"/>
    <w:rsid w:val="005C5056"/>
    <w:rsid w:val="006A020C"/>
    <w:rsid w:val="009F7930"/>
    <w:rsid w:val="00B56E35"/>
    <w:rsid w:val="00B73D91"/>
    <w:rsid w:val="00DD4D4D"/>
    <w:rsid w:val="00ED6AAF"/>
    <w:rsid w:val="00E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8F61"/>
  <w15:chartTrackingRefBased/>
  <w15:docId w15:val="{C631FB95-26E8-4629-A4D5-90E756C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6787">
      <w:bodyDiv w:val="1"/>
      <w:marLeft w:val="0"/>
      <w:marRight w:val="0"/>
      <w:marTop w:val="0"/>
      <w:marBottom w:val="0"/>
      <w:divBdr>
        <w:top w:val="none" w:sz="0" w:space="0" w:color="auto"/>
        <w:left w:val="none" w:sz="0" w:space="0" w:color="auto"/>
        <w:bottom w:val="none" w:sz="0" w:space="0" w:color="auto"/>
        <w:right w:val="none" w:sz="0" w:space="0" w:color="auto"/>
      </w:divBdr>
    </w:div>
    <w:div w:id="1330522140">
      <w:bodyDiv w:val="1"/>
      <w:marLeft w:val="0"/>
      <w:marRight w:val="0"/>
      <w:marTop w:val="0"/>
      <w:marBottom w:val="0"/>
      <w:divBdr>
        <w:top w:val="none" w:sz="0" w:space="0" w:color="auto"/>
        <w:left w:val="none" w:sz="0" w:space="0" w:color="auto"/>
        <w:bottom w:val="none" w:sz="0" w:space="0" w:color="auto"/>
        <w:right w:val="none" w:sz="0" w:space="0" w:color="auto"/>
      </w:divBdr>
      <w:divsChild>
        <w:div w:id="703020477">
          <w:marLeft w:val="0"/>
          <w:marRight w:val="0"/>
          <w:marTop w:val="0"/>
          <w:marBottom w:val="0"/>
          <w:divBdr>
            <w:top w:val="none" w:sz="0" w:space="0" w:color="auto"/>
            <w:left w:val="none" w:sz="0" w:space="0" w:color="auto"/>
            <w:bottom w:val="none" w:sz="0" w:space="0" w:color="auto"/>
            <w:right w:val="none" w:sz="0" w:space="0" w:color="auto"/>
          </w:divBdr>
          <w:divsChild>
            <w:div w:id="1498425097">
              <w:marLeft w:val="0"/>
              <w:marRight w:val="0"/>
              <w:marTop w:val="0"/>
              <w:marBottom w:val="0"/>
              <w:divBdr>
                <w:top w:val="none" w:sz="0" w:space="0" w:color="auto"/>
                <w:left w:val="none" w:sz="0" w:space="0" w:color="auto"/>
                <w:bottom w:val="none" w:sz="0" w:space="0" w:color="auto"/>
                <w:right w:val="none" w:sz="0" w:space="0" w:color="auto"/>
              </w:divBdr>
            </w:div>
          </w:divsChild>
        </w:div>
        <w:div w:id="982662227">
          <w:marLeft w:val="0"/>
          <w:marRight w:val="0"/>
          <w:marTop w:val="0"/>
          <w:marBottom w:val="0"/>
          <w:divBdr>
            <w:top w:val="none" w:sz="0" w:space="0" w:color="auto"/>
            <w:left w:val="none" w:sz="0" w:space="0" w:color="auto"/>
            <w:bottom w:val="none" w:sz="0" w:space="0" w:color="auto"/>
            <w:right w:val="none" w:sz="0" w:space="0" w:color="auto"/>
          </w:divBdr>
          <w:divsChild>
            <w:div w:id="27625927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0042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Dota 2</dc:creator>
  <cp:keywords/>
  <dc:description/>
  <cp:lastModifiedBy>Dota 2</cp:lastModifiedBy>
  <cp:revision>3</cp:revision>
  <dcterms:created xsi:type="dcterms:W3CDTF">2024-03-13T07:55:00Z</dcterms:created>
  <dcterms:modified xsi:type="dcterms:W3CDTF">2024-03-13T07:59:00Z</dcterms:modified>
</cp:coreProperties>
</file>